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7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6"/>
        <w:gridCol w:w="5115"/>
      </w:tblGrid>
      <w:tr>
        <w:trPr>
          <w:trHeight w:val="1388" w:hRule="atLeast"/>
        </w:trPr>
        <w:tc>
          <w:tcPr>
            <w:tcW w:w="460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РОССИЯ ФЕДЕРАЦИЯЗЫ</w:t>
            </w:r>
          </w:p>
          <w:p>
            <w:pPr>
              <w:pStyle w:val="Normal"/>
              <w:pBdr/>
              <w:jc w:val="center"/>
              <w:rPr/>
              <w:framePr w:w="961" w:h="1060" w:x="5365" w:y="-353" w:wrap="auto" w:vAnchor="text" w:hAnchor="page" w:hRule="exact"/>
            </w:pPr>
            <w:r>
              <w:rPr/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  <w:t>ХАКАС РЕСПУБЛИКАЗЫ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ВЕСЕННЕНСКАЙ ААЛ Ч</w:t>
            </w:r>
            <w:r>
              <w:rPr>
                <w:lang w:val="en-US"/>
              </w:rPr>
              <w:t>O</w:t>
            </w:r>
            <w:r>
              <w:rPr/>
              <w:t>Б</w:t>
            </w:r>
            <w:r>
              <w:rPr>
                <w:lang w:val="en-US"/>
              </w:rPr>
              <w:t>I</w:t>
            </w:r>
            <w:r>
              <w:rPr/>
              <w:t>Н</w:t>
            </w:r>
            <w:r>
              <w:rPr>
                <w:lang w:val="en-US"/>
              </w:rPr>
              <w:t>I</w:t>
            </w:r>
            <w:r>
              <w:rPr/>
              <w:t>Н</w:t>
            </w:r>
          </w:p>
          <w:p>
            <w:pPr>
              <w:pStyle w:val="Normal"/>
              <w:jc w:val="center"/>
              <w:rPr/>
            </w:pPr>
            <w:r>
              <w:rPr/>
              <w:t>УСТА</w:t>
            </w:r>
            <w:r>
              <w:rPr>
                <w:lang w:val="en-US"/>
              </w:rPr>
              <w:t>F</w:t>
            </w:r>
            <w:r>
              <w:rPr/>
              <w:t>-ПАЗЫ</w:t>
            </w:r>
          </w:p>
        </w:tc>
        <w:tc>
          <w:tcPr>
            <w:tcW w:w="511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Normal"/>
              <w:jc w:val="center"/>
              <w:rPr/>
            </w:pPr>
            <w:r>
              <w:rPr/>
              <w:t>РЕСПУБЛИКА ХАКАСИЯ</w:t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ВЕСЕННЕНСКОГО СЕЛЬСОВЕТА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pStyle w:val="1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от 03 ноября   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>г.</w:t>
        <w:tab/>
        <w:t xml:space="preserve">                                                         № 68-п</w:t>
      </w:r>
    </w:p>
    <w:p>
      <w:pPr>
        <w:pStyle w:val="1"/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с. Весеннее</w:t>
      </w:r>
    </w:p>
    <w:p>
      <w:pPr>
        <w:pStyle w:val="Normal"/>
        <w:rPr/>
      </w:pPr>
      <w:r>
        <w:rPr/>
      </w:r>
    </w:p>
    <w:p>
      <w:pPr>
        <w:pStyle w:val="ConsPlusTitle"/>
        <w:widowControl/>
        <w:rPr/>
      </w:pPr>
      <w:r>
        <w:rPr/>
        <w:t>Об утверждении методики прогнозирования</w:t>
      </w:r>
    </w:p>
    <w:p>
      <w:pPr>
        <w:pStyle w:val="ConsPlusTitle"/>
        <w:widowControl/>
        <w:rPr/>
      </w:pPr>
      <w:r>
        <w:rPr/>
        <w:t>поступлений доходов  в бюджет Весенненского</w:t>
      </w:r>
    </w:p>
    <w:p>
      <w:pPr>
        <w:pStyle w:val="ConsPlusTitle"/>
        <w:widowControl/>
        <w:rPr/>
      </w:pPr>
      <w:r>
        <w:rPr/>
        <w:t xml:space="preserve">сельсовета  на очередной финансовый год и плановый период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/>
      </w:pPr>
      <w:r>
        <w:rPr/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/>
      </w:pPr>
      <w:r>
        <w:rPr/>
      </w:r>
    </w:p>
    <w:p>
      <w:pPr>
        <w:pStyle w:val="NormalWeb"/>
        <w:spacing w:lineRule="auto" w:line="276" w:beforeAutospacing="0" w:before="280" w:after="200"/>
        <w:ind w:right="-285" w:firstLine="539"/>
        <w:jc w:val="both"/>
        <w:rPr/>
      </w:pPr>
      <w:r>
        <w:rPr>
          <w:rFonts w:eastAsia="Calibri"/>
          <w:lang w:eastAsia="en-US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в целях </w:t>
      </w:r>
      <w:r>
        <w:rPr/>
        <w:t xml:space="preserve"> реализации полномочий главного администратора доходов бюджета Весенненского сельсовета в части прогнозирования доходов, администрируемых Администрацией Весенненского сельсовета.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/>
      </w:pPr>
      <w:r>
        <w:rPr/>
        <w:t>ПОСТАНОВЛЯЮ: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 xml:space="preserve">Утвердить </w:t>
      </w:r>
      <w:r>
        <w:fldChar w:fldCharType="begin"/>
      </w:r>
      <w:r>
        <w:rPr>
          <w:u w:val="none"/>
        </w:rPr>
        <w:instrText> HYPERLINK "file:///D:/%D0%BC%D0%B5%D1%82%D0%BE%D0%B4%D0%B8%D0%BA%D0%B0%20%D0%B4%D0%BE%D0%BC%D0%BE%D0%B6%D0%B0%D0%BA%D0%BE%D0%B2%D0%BE.docx" \l "P30"</w:instrText>
      </w:r>
      <w:r>
        <w:rPr>
          <w:u w:val="none"/>
        </w:rPr>
        <w:fldChar w:fldCharType="separate"/>
      </w:r>
      <w:r>
        <w:rPr>
          <w:color w:val="auto"/>
          <w:u w:val="none"/>
        </w:rPr>
        <w:t>Методику</w:t>
      </w:r>
      <w:r>
        <w:rPr>
          <w:u w:val="none"/>
        </w:rPr>
        <w:fldChar w:fldCharType="end"/>
      </w:r>
      <w:r>
        <w:rPr/>
        <w:t xml:space="preserve"> прогнозирования поступлений доходов в бюджет  Весенненского сельсовета на очередной финансовый год и плановый период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 xml:space="preserve">Постановление от </w:t>
      </w:r>
      <w:r>
        <w:rPr/>
        <w:t>03</w:t>
      </w:r>
      <w:r>
        <w:rPr/>
        <w:t xml:space="preserve">.11.2021г № </w:t>
      </w:r>
      <w:r>
        <w:rPr/>
        <w:t>68</w:t>
      </w:r>
      <w:r>
        <w:rPr/>
        <w:t>-п «Об утверждении методики прогнозирования доходов муниципального образования Весенненский сельсовета Усть-Абаканского района Республики Хакасия» считать утратившим силу.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>Постановление вступает в силу со дня его подписания.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/>
        <w:ind w:left="0" w:firstLine="567"/>
        <w:jc w:val="both"/>
        <w:rPr/>
      </w:pPr>
      <w:r>
        <w:rPr/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Весенненского сельсовета                                                                     В.В. Иванов</w:t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ind w:left="53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ConsPlusNonformat"/>
        <w:tabs>
          <w:tab w:val="clear" w:pos="708"/>
          <w:tab w:val="left" w:pos="1980" w:leader="none"/>
        </w:tabs>
        <w:spacing w:lineRule="auto" w:line="276"/>
        <w:ind w:left="538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главы Весенненского сельсовета Усть-Абаканского района Республики Хакасия от     03.11.202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№68-п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ConsPlusTitle"/>
        <w:widowControl/>
        <w:spacing w:lineRule="auto" w:line="276"/>
        <w:jc w:val="center"/>
        <w:rPr/>
      </w:pPr>
      <w:r>
        <w:rPr/>
        <w:t>МЕТОДИКА</w:t>
      </w:r>
    </w:p>
    <w:p>
      <w:pPr>
        <w:pStyle w:val="ConsPlusTitle"/>
        <w:widowControl/>
        <w:spacing w:lineRule="auto" w:line="276"/>
        <w:jc w:val="center"/>
        <w:rPr/>
      </w:pPr>
      <w:r>
        <w:rPr/>
        <w:t>ПРОГНОЗИРОВАНИЯ ПОСТУПЛЕНИЙ ДОХОДОВ В БЮДЖЕТ ВЕСЕННЕНСКОГО СЕЛЬСОВЕТА</w:t>
      </w:r>
    </w:p>
    <w:p>
      <w:pPr>
        <w:pStyle w:val="ConsPlusTitle"/>
        <w:widowControl/>
        <w:spacing w:lineRule="auto" w:line="276"/>
        <w:jc w:val="center"/>
        <w:rPr/>
      </w:pPr>
      <w:r>
        <w:rPr/>
        <w:t xml:space="preserve"> </w:t>
      </w:r>
      <w:r>
        <w:rPr/>
        <w:t xml:space="preserve">НА ОЧЕРЕДНОЙ ФИНАНСОВЫЙ ГОД И ПЛАНОВЫЙ ПЕРИОД </w:t>
      </w:r>
    </w:p>
    <w:p>
      <w:pPr>
        <w:pStyle w:val="ConsPlusTitle"/>
        <w:widowControl/>
        <w:spacing w:lineRule="auto" w:line="276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Title"/>
        <w:widowControl/>
        <w:spacing w:lineRule="auto" w:line="276"/>
        <w:jc w:val="center"/>
        <w:rPr/>
      </w:pPr>
      <w:r>
        <w:rPr/>
      </w:r>
    </w:p>
    <w:p>
      <w:pPr>
        <w:pStyle w:val="ConsPlusNormal"/>
        <w:spacing w:lineRule="auto" w:line="2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Методика прогнозирования поступлений доходов в бюджет Весенненского сельсовета на очередной финансовый год и плановый период (далее - Методика) разработана в целях реализации Администрацией Весенненского сельсовета Усть-Абаканского района Республики Хакасия полномочий главного администратора доходов Администрации Весенненского сельсовета Усть-Абаканского района Республики Хакасия в части прогнозирования поступлений доходов, администрируемых Администрацией Весенненского сельсовета Усть-Абаканского района Республики Хакасия.</w:t>
      </w:r>
    </w:p>
    <w:p>
      <w:pPr>
        <w:pStyle w:val="ConsPlusNormal"/>
        <w:spacing w:lineRule="auto" w:line="276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Методика разработана в соответствии с общими </w:t>
      </w:r>
      <w:hyperlink r:id="rId3"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требованиями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 (далее - Общие требования).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параметров  доходов в бюджет Весенненского сельсовета Усть-Абаканского района Республики Хакасия применяются следующие методы прогнозирования (комбинация следующих методов)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>
      <w:pPr>
        <w:pStyle w:val="Normal"/>
        <w:spacing w:lineRule="auto" w:line="276"/>
        <w:ind w:firstLine="540"/>
        <w:jc w:val="both"/>
        <w:rPr/>
      </w:pPr>
      <w:r>
        <w:rPr/>
        <w:t>иной способ, который должен быть описан и обоснован в методике прогнозирования.</w:t>
      </w:r>
    </w:p>
    <w:p>
      <w:pPr>
        <w:pStyle w:val="Normal"/>
        <w:spacing w:lineRule="auto" w:line="276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Алгоритмы расчета прогнозов поступлений по видам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неналоговых доходов</w:t>
      </w:r>
    </w:p>
    <w:p>
      <w:pPr>
        <w:pStyle w:val="Normal"/>
        <w:spacing w:before="0" w:after="160"/>
        <w:ind w:firstLine="708"/>
        <w:jc w:val="both"/>
        <w:rPr/>
      </w:pPr>
      <w:r>
        <w:rPr>
          <w:color w:val="000000"/>
        </w:rPr>
        <w:t xml:space="preserve">2.1. </w:t>
      </w:r>
      <w:r>
        <w:rPr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>
      <w:pPr>
        <w:pStyle w:val="Normal"/>
        <w:spacing w:before="0" w:after="160"/>
        <w:ind w:firstLine="708"/>
        <w:jc w:val="both"/>
        <w:rPr>
          <w:color w:val="322C20"/>
        </w:rPr>
      </w:pPr>
      <w:r>
        <w:rPr>
          <w:color w:val="000000"/>
        </w:rPr>
        <w:t xml:space="preserve">002 </w:t>
      </w:r>
      <w:r>
        <w:rPr/>
        <w:t>1 11 05035 10 0000 120</w:t>
      </w:r>
    </w:p>
    <w:p>
      <w:pPr>
        <w:pStyle w:val="Normal"/>
        <w:spacing w:before="0" w:after="160"/>
        <w:ind w:firstLine="708"/>
        <w:jc w:val="both"/>
        <w:rPr>
          <w:color w:val="322C20"/>
        </w:rPr>
      </w:pPr>
      <w:r>
        <w:rPr>
          <w:color w:val="000000"/>
        </w:rPr>
        <w:t>Прогнозирование доходов от сдачи в аренду имущества осуществляется с применением метода прямого расчета из данных о текущих и планируемых платежах.</w:t>
      </w:r>
    </w:p>
    <w:p>
      <w:pPr>
        <w:pStyle w:val="Normal"/>
        <w:spacing w:before="0" w:after="120"/>
        <w:ind w:firstLine="709"/>
        <w:jc w:val="both"/>
        <w:rPr>
          <w:color w:val="322C20"/>
        </w:rPr>
      </w:pPr>
      <w:r>
        <w:rPr>
          <w:color w:val="000000"/>
        </w:rP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платы, полученная годовая сумма начисления корректируется на предполагаемые изменения.</w:t>
      </w:r>
    </w:p>
    <w:p>
      <w:pPr>
        <w:pStyle w:val="Normal"/>
        <w:spacing w:before="0" w:after="120"/>
        <w:ind w:firstLine="709"/>
        <w:jc w:val="both"/>
        <w:rPr>
          <w:color w:val="322C20"/>
        </w:rPr>
      </w:pPr>
      <w:r>
        <w:rPr>
          <w:color w:val="000000"/>
        </w:rPr>
        <w:t>Расчет прогнозируемых доходов осуществляется по формуле:</w:t>
      </w:r>
    </w:p>
    <w:p>
      <w:pPr>
        <w:pStyle w:val="Normal"/>
        <w:spacing w:before="0" w:after="120"/>
        <w:ind w:left="360" w:hanging="0"/>
        <w:jc w:val="both"/>
        <w:rPr>
          <w:color w:val="322C20"/>
        </w:rPr>
      </w:pPr>
      <w:r>
        <w:rPr>
          <w:color w:val="000000"/>
        </w:rPr>
        <w:t>Д = (∑А</w:t>
      </w:r>
      <w:r>
        <w:rPr>
          <w:i/>
          <w:iCs/>
          <w:color w:val="000000"/>
          <w:vertAlign w:val="subscript"/>
          <w:lang w:val="en-US"/>
        </w:rPr>
        <w:t>i</w:t>
      </w:r>
      <w:r>
        <w:rPr>
          <w:color w:val="000000"/>
        </w:rPr>
        <w:t>- А</w:t>
      </w:r>
      <w:r>
        <w:rPr>
          <w:color w:val="000000"/>
          <w:vertAlign w:val="subscript"/>
        </w:rPr>
        <w:t>расторг</w:t>
      </w:r>
      <w:r>
        <w:rPr>
          <w:color w:val="000000"/>
        </w:rPr>
        <w:t>+А</w:t>
      </w:r>
      <w:r>
        <w:rPr>
          <w:color w:val="000000"/>
          <w:vertAlign w:val="subscript"/>
        </w:rPr>
        <w:t>нов</w:t>
      </w:r>
      <w:r>
        <w:rPr>
          <w:color w:val="000000"/>
        </w:rPr>
        <w:t>)*12*К</w:t>
      </w:r>
      <w:r>
        <w:rPr>
          <w:color w:val="000000"/>
          <w:vertAlign w:val="subscript"/>
        </w:rPr>
        <w:t>увел</w:t>
      </w:r>
      <w:r>
        <w:rPr>
          <w:color w:val="000000"/>
        </w:rPr>
        <w:t>*С+З, где:</w:t>
      </w:r>
    </w:p>
    <w:p>
      <w:pPr>
        <w:pStyle w:val="Normal"/>
        <w:spacing w:before="0" w:after="160"/>
        <w:ind w:left="709" w:hanging="0"/>
        <w:jc w:val="both"/>
        <w:rPr>
          <w:color w:val="322C20"/>
        </w:rPr>
      </w:pPr>
      <w:r>
        <w:rPr>
          <w:color w:val="000000"/>
        </w:rPr>
        <w:t>Д – прогнозируемый объем доходов,</w:t>
      </w:r>
    </w:p>
    <w:p>
      <w:pPr>
        <w:pStyle w:val="Normal"/>
        <w:spacing w:before="0" w:after="160"/>
        <w:ind w:left="709" w:hanging="0"/>
        <w:jc w:val="both"/>
        <w:rPr>
          <w:color w:val="322C20"/>
        </w:rPr>
      </w:pPr>
      <w:r>
        <w:rPr>
          <w:color w:val="000000"/>
        </w:rPr>
        <w:t>А</w:t>
      </w:r>
      <w:r>
        <w:rPr>
          <w:i/>
          <w:iCs/>
          <w:color w:val="000000"/>
          <w:vertAlign w:val="subscript"/>
          <w:lang w:val="en-US"/>
        </w:rPr>
        <w:t>i</w:t>
      </w:r>
      <w:r>
        <w:rPr>
          <w:color w:val="000000"/>
        </w:rPr>
        <w:t>– размер начислений в месяц по </w:t>
      </w:r>
      <w:r>
        <w:rPr>
          <w:i/>
          <w:iCs/>
          <w:color w:val="000000"/>
          <w:lang w:val="en-US"/>
        </w:rPr>
        <w:t>i</w:t>
      </w:r>
      <w:r>
        <w:rPr>
          <w:color w:val="000000"/>
        </w:rPr>
        <w:t>-тому договору аренды,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расторг</w:t>
      </w:r>
      <w:r>
        <w:rPr>
          <w:color w:val="000000"/>
        </w:rPr>
        <w:t>– размер начислений в месяц по договорам аренды, которые будут расторгнуты в течение текущего финансового года,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нов</w:t>
      </w:r>
      <w:r>
        <w:rPr>
          <w:color w:val="000000"/>
        </w:rPr>
        <w:t>– размер начислений в месяц по планируемым к заключению договорам аренды,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К</w:t>
      </w:r>
      <w:r>
        <w:rPr>
          <w:color w:val="000000"/>
          <w:vertAlign w:val="subscript"/>
        </w:rPr>
        <w:t>увел</w:t>
      </w:r>
      <w:r>
        <w:rPr>
          <w:color w:val="000000"/>
        </w:rPr>
        <w:t>– коэффициент, учитывающий прогнозируемое увеличение размера арендной платы в очередном финансовом году (индекс потребительских цен),</w:t>
      </w:r>
    </w:p>
    <w:p>
      <w:pPr>
        <w:pStyle w:val="Normal"/>
        <w:spacing w:before="0" w:after="160"/>
        <w:ind w:left="709" w:hanging="0"/>
        <w:jc w:val="both"/>
        <w:rPr>
          <w:color w:val="322C20"/>
        </w:rPr>
      </w:pPr>
      <w:r>
        <w:rPr>
          <w:color w:val="000000"/>
        </w:rPr>
        <w:t>С – процент собираемости арендных платежей,</w:t>
      </w:r>
    </w:p>
    <w:p>
      <w:pPr>
        <w:pStyle w:val="Normal"/>
        <w:spacing w:before="0" w:after="160"/>
        <w:ind w:firstLine="709"/>
        <w:jc w:val="both"/>
        <w:rPr>
          <w:color w:val="000000"/>
        </w:rPr>
      </w:pPr>
      <w:r>
        <w:rPr>
          <w:color w:val="000000"/>
        </w:rPr>
        <w:t>З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>
      <w:pPr>
        <w:pStyle w:val="Normal"/>
        <w:jc w:val="center"/>
        <w:rPr>
          <w:color w:val="322C20"/>
        </w:rPr>
      </w:pPr>
      <w:r>
        <w:rPr/>
        <w:t>2.2.  Прочие доходы от оказания платных услуг (работ) получателями средств бюджетов сельских поселений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002 1 13 01995 10 0000 130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Источником информации для прогнозирования доходов от оказания платных услуг (работ) получателями средств бюджетов сельских поселений  является отчет с данными о количестве платных услуг каждого вида не менее чем за 3 года или за весь период оказания услуги в случае, если он не превышает 3 года.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При расчете прогноза доходов от оказания платных услуг (работ) получателями средств бюджетов сельских поселений используется метод прямого расчета.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Прогноз доходов от оказания платной услуги (работы) определенного вида получателями средств бюджетов сельских поселений рассчитывается по следующей формуле: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 = К х С, где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 - прогноз доходов от оказания платной услуги (работы) определенного вида получателями средств бюджетов сельских поселений;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К – планируемое количество услуг (работ) определенного вида, рассчитанное как среднее арифметическое фактического количества оказанных услуг определенного вида за весь период оказания данной услуги (работы) в случае, если он не превышает 3 года или за 2 предшествующих года и ожидаемого количества оказанной услуги (работы) определенного вида в текущем году;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 xml:space="preserve">С - стоимость планируемой платной услуги (работы) определенного вида, установленная органами местного самоуправления </w:t>
      </w:r>
      <w:r>
        <w:rPr/>
        <w:t>Весенненского</w:t>
      </w:r>
      <w:r>
        <w:rPr>
          <w:color w:val="1A171B"/>
        </w:rPr>
        <w:t xml:space="preserve"> сельсовета.</w:t>
      </w:r>
    </w:p>
    <w:p>
      <w:pPr>
        <w:pStyle w:val="Normal"/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При формировании прогноза доходов от оказания платных услуг (работ) получателями средств бюджетов сельских поселений учитывается сумма прогнозных доходов от оказания платной услуги (работы) каждого вида.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2.3. Прочие доходы от компенсации затрат бюджетов сельских поселений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002 1 13 02995 10 0000 130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color w:val="000000"/>
        </w:rPr>
        <w:t xml:space="preserve">2.4. </w:t>
      </w:r>
      <w:r>
        <w:rPr/>
        <w:t>Доходы от продажи нематериальных активов, находящихся в собственности сельских поселений</w:t>
      </w:r>
    </w:p>
    <w:p>
      <w:pPr>
        <w:pStyle w:val="Normal"/>
        <w:jc w:val="center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002 </w:t>
      </w:r>
      <w:r>
        <w:rPr/>
        <w:t>1 14 04050 10 0000 420</w:t>
      </w:r>
    </w:p>
    <w:p>
      <w:pPr>
        <w:pStyle w:val="Normal"/>
        <w:spacing w:before="0" w:after="160"/>
        <w:ind w:firstLine="709"/>
        <w:jc w:val="center"/>
        <w:rPr>
          <w:color w:val="322C20"/>
        </w:rPr>
      </w:pPr>
      <w:r>
        <w:rPr>
          <w:color w:val="322C20"/>
        </w:rPr>
      </w:r>
    </w:p>
    <w:p>
      <w:pPr>
        <w:pStyle w:val="Normal"/>
        <w:spacing w:before="0" w:after="160"/>
        <w:ind w:firstLine="708"/>
        <w:jc w:val="both"/>
        <w:rPr>
          <w:color w:val="322C20"/>
        </w:rPr>
      </w:pPr>
      <w:r>
        <w:rPr>
          <w:color w:val="000000"/>
        </w:rPr>
        <w:t>Доходы от реализации имущества на торгах планируются в соответствии с проектом прогнозного плана приватизации имущества на очередной финансовый год и цены реализации указанных объектов, которая определяется:</w:t>
      </w:r>
    </w:p>
    <w:p>
      <w:pPr>
        <w:pStyle w:val="Normal"/>
        <w:spacing w:before="0" w:after="160"/>
        <w:ind w:firstLine="567"/>
        <w:jc w:val="both"/>
        <w:rPr>
          <w:color w:val="322C20"/>
        </w:rPr>
      </w:pPr>
      <w:r>
        <w:rPr>
          <w:color w:val="000000"/>
        </w:rPr>
        <w:t>1) в отношении имущества, по которому ранее не принималось решение о приватизации,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- исходя из информации о наиболее вероятной цене продажи (далее –прогнозируемая стоимость) объекта недвижимого имущества (земельного участка), предполагаемого к реализации (приватизации), сообщенной субъектом оценочной деятельности (далее –оценщик) по запросу Администрации. Запрос направляется администрацией не менее, чем пяти оценщикам. В случае получения информации более, чем от одного оценщика, прогнозируема стоимость рассчитывается как среднее арифметическое.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2) в отношении имущества, по которому в текущем финансовом году было принято решение об условиях приватизации и продажа которого на аукционе не состоялась, - в размере, равном 50 процентов начальной цены несостоявшегося аукциона.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Прогноз доходов от продажи имущества, включенного в проект прогнозного плана приватизации, и реализуемого в порядке, установленном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 формируется исходя из прогнозируемой стоимости имущества с учетом сроков внесения платежей, указанных в заявках субъектов малого и среднего предпринимательства на выкуп арендованного имущества.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Доходы от продажи земельных участков при продаже собственникам расположенных на них зданий, строений и сооружений планируются исходя из цены земельного участка, определенной в соответствии постановлением Администрации.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При уточнении прогнозных данных текущего финансового года учитываются фактически поступившие доходы на дату составления прогноза, а также рыночная стоимость имущества согласно отчету об оценке продажной стоимости объекта недвижимого имущества (земельного участка), составленного оценщиком (при наличии).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Администрация при планировании доходов от реализации имущества вправе учесть риски, связанные с отсутствием (наличием) спроса на объекты, запланированные к реализации (приватизации).</w:t>
      </w:r>
    </w:p>
    <w:p>
      <w:pPr>
        <w:pStyle w:val="Normal"/>
        <w:jc w:val="both"/>
        <w:rPr/>
      </w:pPr>
      <w:r>
        <w:rPr>
          <w:color w:val="000000"/>
        </w:rPr>
        <w:t>2.5.</w:t>
      </w:r>
      <w:r>
        <w:rPr/>
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</w:p>
    <w:p>
      <w:pPr>
        <w:pStyle w:val="Normal"/>
        <w:tabs>
          <w:tab w:val="clear" w:pos="708"/>
          <w:tab w:val="left" w:pos="2968" w:leader="none"/>
        </w:tabs>
        <w:spacing w:before="0" w:after="160"/>
        <w:ind w:left="709" w:hanging="0"/>
        <w:jc w:val="both"/>
        <w:rPr>
          <w:color w:val="322C20"/>
        </w:rPr>
      </w:pPr>
      <w:r>
        <w:rPr>
          <w:color w:val="322C20"/>
        </w:rPr>
        <w:tab/>
      </w:r>
    </w:p>
    <w:p>
      <w:pPr>
        <w:pStyle w:val="Normal"/>
        <w:tabs>
          <w:tab w:val="clear" w:pos="708"/>
          <w:tab w:val="left" w:pos="2968" w:leader="none"/>
        </w:tabs>
        <w:spacing w:before="0" w:after="160"/>
        <w:ind w:left="709" w:hanging="0"/>
        <w:jc w:val="both"/>
        <w:rPr>
          <w:color w:val="322C20"/>
        </w:rPr>
      </w:pPr>
      <w:r>
        <w:rPr>
          <w:color w:val="322C20"/>
        </w:rPr>
        <w:t xml:space="preserve">002 </w:t>
      </w:r>
      <w:r>
        <w:rPr/>
        <w:t>1 14 02053 10 0000 440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>
      <w:pPr>
        <w:pStyle w:val="Normal"/>
        <w:spacing w:before="0" w:after="160"/>
        <w:ind w:firstLine="709"/>
        <w:jc w:val="both"/>
        <w:rPr>
          <w:color w:val="322C20"/>
        </w:rPr>
      </w:pPr>
      <w:r>
        <w:rPr>
          <w:color w:val="000000"/>
        </w:rPr>
        <w:t>Ожидаемый объем поступлений доходов в очередном финансовом году рассчитывается методом усреднения. Расчет производится исходя из усреднения фактических поступлений неналоговых доходов в годовых суммах за три года, предшествующих текущему финансовому году по формуле:</w:t>
      </w:r>
    </w:p>
    <w:p>
      <w:pPr>
        <w:pStyle w:val="Normal"/>
        <w:spacing w:before="0" w:after="160"/>
        <w:ind w:left="709" w:hanging="0"/>
        <w:jc w:val="both"/>
        <w:rPr>
          <w:color w:val="000000"/>
        </w:rPr>
      </w:pPr>
      <w:r>
        <w:rPr>
          <w:color w:val="000000"/>
        </w:rPr>
        <w:t>ПДj=(ПДj-4+ПДj-3 ПДj-2)/3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002 1 16 51040 02 0000 140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муниципального района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учитываются следующие факторы: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изменения в законодательстве;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динамика фактических поступлений по налогу согласно данным отчета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4">
        <w:r>
          <w:rPr>
            <w:sz w:val="24"/>
            <w:szCs w:val="24"/>
          </w:rPr>
          <w:t xml:space="preserve">форме N </w:t>
        </w:r>
      </w:hyperlink>
      <w:r>
        <w:rPr>
          <w:rFonts w:cs="Times New Roman" w:ascii="Times New Roman" w:hAnsi="Times New Roman"/>
          <w:color w:val="0000FF"/>
          <w:sz w:val="24"/>
          <w:szCs w:val="24"/>
        </w:rPr>
        <w:t>0503127</w:t>
      </w:r>
      <w:r>
        <w:rPr>
          <w:rFonts w:cs="Times New Roman" w:ascii="Times New Roman" w:hAnsi="Times New Roman"/>
          <w:sz w:val="24"/>
          <w:szCs w:val="24"/>
        </w:rPr>
        <w:t xml:space="preserve"> ";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иные факторы (в том числе возможная корректировка на поступления, имеющие характер "всплеска" и др.).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поселений.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002 1 16 21050 10 0000 151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учитываются следующие факторы: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изменения в законодательстве;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динамика фактических поступлений по налогу согласно данным отчета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5">
        <w:r>
          <w:rPr>
            <w:sz w:val="24"/>
            <w:szCs w:val="24"/>
          </w:rPr>
          <w:t xml:space="preserve">форме N </w:t>
        </w:r>
      </w:hyperlink>
      <w:r>
        <w:rPr>
          <w:rFonts w:cs="Times New Roman" w:ascii="Times New Roman" w:hAnsi="Times New Roman"/>
          <w:color w:val="0000FF"/>
          <w:sz w:val="24"/>
          <w:szCs w:val="24"/>
        </w:rPr>
        <w:t>0503127</w:t>
      </w:r>
      <w:r>
        <w:rPr>
          <w:rFonts w:cs="Times New Roman" w:ascii="Times New Roman" w:hAnsi="Times New Roman"/>
          <w:sz w:val="24"/>
          <w:szCs w:val="24"/>
        </w:rPr>
        <w:t xml:space="preserve"> ";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иные факторы (в том числе возможная корректировка на поступления, имеющие характер "всплеска" и др.).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Прочие поступления от денежных взысканий (штрафов) и иных сумм в возмещение ущерба, зачисляемые в бюджеты сельских поселений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002 1 16 90050 10 0000 151</w:t>
      </w:r>
    </w:p>
    <w:p>
      <w:pPr>
        <w:pStyle w:val="ConsPlusNormal"/>
        <w:spacing w:lineRule="auto" w:line="276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Расчет прогноза поступления прочих доходов от компенсации затрат поселения осуществляется с применением 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расчете учитываются следующие факторы: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изменения в законодательстве;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динамика фактических поступлений по налогу согласно данным отчета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исполнении бюджета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6">
        <w:r>
          <w:rPr>
            <w:sz w:val="24"/>
            <w:szCs w:val="24"/>
          </w:rPr>
          <w:t xml:space="preserve">форме N </w:t>
        </w:r>
      </w:hyperlink>
      <w:r>
        <w:rPr>
          <w:rFonts w:cs="Times New Roman" w:ascii="Times New Roman" w:hAnsi="Times New Roman"/>
          <w:color w:val="0000FF"/>
          <w:sz w:val="24"/>
          <w:szCs w:val="24"/>
        </w:rPr>
        <w:t>0503127</w:t>
      </w:r>
      <w:r>
        <w:rPr>
          <w:rFonts w:cs="Times New Roman" w:ascii="Times New Roman" w:hAnsi="Times New Roman"/>
          <w:sz w:val="24"/>
          <w:szCs w:val="24"/>
        </w:rPr>
        <w:t xml:space="preserve"> ";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иные факторы (в том числе возможная корректировка на поступления, имеющие характер "всплеска" и др.).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Расчет объемов данных поступлений на плановый период осуществляется по следующей формуле: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</w:p>
    <w:p>
      <w:pPr>
        <w:pStyle w:val="Normal"/>
        <w:spacing w:lineRule="auto" w:line="276"/>
        <w:ind w:firstLine="709"/>
        <w:jc w:val="center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p</w:t>
      </w:r>
      <w:r>
        <w:rPr>
          <w:vertAlign w:val="subscript"/>
        </w:rPr>
        <w:t>)</w:t>
      </w:r>
      <w:r>
        <w:rPr/>
        <w:t xml:space="preserve"> = (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 +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)/3,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 </w:t>
      </w:r>
      <w:r>
        <w:rPr/>
        <w:t>где: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-2)</w:t>
      </w:r>
      <w:r>
        <w:rPr/>
        <w:t>,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-1)</w:t>
      </w:r>
      <w:r>
        <w:rPr/>
        <w:t xml:space="preserve">, </w:t>
      </w:r>
      <w:r>
        <w:rPr>
          <w:lang w:val="en-US"/>
        </w:rPr>
        <w:t>P</w:t>
      </w:r>
      <w:r>
        <w:rPr>
          <w:vertAlign w:val="subscript"/>
        </w:rPr>
        <w:t>(</w:t>
      </w:r>
      <w:r>
        <w:rPr>
          <w:vertAlign w:val="subscript"/>
          <w:lang w:val="en-US"/>
        </w:rPr>
        <w:t>t</w:t>
      </w:r>
      <w:r>
        <w:rPr>
          <w:vertAlign w:val="subscript"/>
        </w:rPr>
        <w:t>)</w:t>
      </w:r>
      <w:r>
        <w:rPr/>
        <w:t>– фактическое значение годовых поступлений за три года, предшествующих планируемому.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2.8. Невыясненные поступления, зачисляемые в бюджеты сельских поселений</w:t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002 1 17 01050 10 0000 180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поступлений по данному коду доходов не прогнозируется. Указанные поступления подлежат уточнению по факту поступления.</w:t>
      </w:r>
    </w:p>
    <w:p>
      <w:pPr>
        <w:pStyle w:val="Normal"/>
        <w:jc w:val="center"/>
        <w:rPr/>
      </w:pPr>
      <w:r>
        <w:rPr/>
        <w:t>2.9. Прочие неналоговые доходы бюджетов сельских поселений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002 1 17 05050 10 0000 180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поступлений по данному коду доходов не прогнозируется. Указанные поступления подлежат уточнению по факту поступления.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 Безвозмездные перечисления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002 2 02 00000 00 0000 000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</w:t>
      </w:r>
      <w:r>
        <w:rPr>
          <w:rFonts w:cs="Times New Roman" w:ascii="Times New Roman" w:hAnsi="Times New Roman"/>
          <w:sz w:val="24"/>
          <w:szCs w:val="24"/>
        </w:rPr>
        <w:t xml:space="preserve">мы безвозмездных поступлений от других бюджетов бюджетной системы Российской Федерации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прогнозируются в соответствии с объемами, предусмотренными  решением Совета Депутатов Усть-Абаканского района и (или) правовыми актами Усть-Абаканского района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2.10. Прочие безвозмездные поступления в бюджеты сельских поселений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002 2 07 05030 10 0000 180</w:t>
      </w:r>
    </w:p>
    <w:p>
      <w:pPr>
        <w:pStyle w:val="ConsPlusNormal"/>
        <w:spacing w:lineRule="auto" w:line="27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</w:t>
      </w:r>
      <w:r>
        <w:rPr>
          <w:rFonts w:cs="Times New Roman" w:ascii="Times New Roman" w:hAnsi="Times New Roman"/>
          <w:sz w:val="24"/>
          <w:szCs w:val="24"/>
        </w:rPr>
        <w:t xml:space="preserve">мы прочих безвозмездных поступлений от юридических и физических лиц прогнозируются в соответствии с заключенными соглашениями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очередной финансовый год и плановый период.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2.11. </w:t>
      </w:r>
      <w:r>
        <w:rPr/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  <w:t xml:space="preserve">002 2 08 05000 10 0000 180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</w:rPr>
      </w:pPr>
      <w:r>
        <w:rPr>
          <w:color w:val="000000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 не прогнозируются.</w:t>
      </w:r>
    </w:p>
    <w:p>
      <w:pPr>
        <w:pStyle w:val="Normal"/>
        <w:jc w:val="both"/>
        <w:rPr/>
      </w:pPr>
      <w:r>
        <w:rPr>
          <w:color w:val="000000"/>
        </w:rPr>
        <w:t xml:space="preserve">2.12. </w:t>
      </w:r>
      <w:r>
        <w:rPr/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color w:val="000000"/>
        </w:rPr>
        <w:t>002 </w:t>
      </w:r>
      <w:r>
        <w:rPr/>
        <w:t>2 19 00000 10 0000 151</w:t>
      </w:r>
    </w:p>
    <w:p>
      <w:pPr>
        <w:pStyle w:val="Normal"/>
        <w:jc w:val="both"/>
        <w:rPr>
          <w:color w:val="000000"/>
        </w:rPr>
      </w:pPr>
      <w:r>
        <w:rPr/>
        <w:t xml:space="preserve">      </w:t>
      </w:r>
      <w:r>
        <w:rPr/>
        <w:t xml:space="preserve">Перечисление возврата остатков субсидий, субвенций и иных межбюджетных трансфертов, имеющих целевое назначение, прошлых лет из бюджетов сельских поселений не </w:t>
      </w:r>
      <w:r>
        <w:rPr>
          <w:color w:val="000000"/>
        </w:rPr>
        <w:t>прогнозируются.</w:t>
      </w:r>
    </w:p>
    <w:p>
      <w:pPr>
        <w:pStyle w:val="Normal"/>
        <w:spacing w:lineRule="auto" w:line="276"/>
        <w:ind w:firstLine="708"/>
        <w:jc w:val="both"/>
        <w:rPr>
          <w:color w:val="000000"/>
        </w:rPr>
      </w:pPr>
      <w:r>
        <w:rPr>
          <w:color w:val="000000"/>
        </w:rPr>
        <w:t>2.13. Прогнозирование по видам доходов, не указанным в данной методике, осуществляется по одному из методов прогнозирования, указанных в разделе 1.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f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bd5fb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d5fb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d5fb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b435d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d5fb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2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966e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435df"/>
    <w:pPr>
      <w:spacing w:beforeAutospacing="1" w:after="119"/>
    </w:pPr>
    <w:rPr/>
  </w:style>
  <w:style w:type="paragraph" w:styleId="ConsPlusTitle" w:customStyle="1">
    <w:name w:val="ConsPlusTitle"/>
    <w:uiPriority w:val="99"/>
    <w:qFormat/>
    <w:rsid w:val="00b435d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b435df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b435d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D5C1B873E042078D4E851A610E30D65D4B3D8E8AE54A1FE5611694662441D0D36737E4D38876D28fBt5G" TargetMode="External"/><Relationship Id="rId4" Type="http://schemas.openxmlformats.org/officeDocument/2006/relationships/hyperlink" Target="consultantplus://offline/ref=ED5C1B873E042078D4E858BF17E30D65D0B5D8E4AC53A1FE5611694662441D0D36737E4D30866A28fBt6G" TargetMode="External"/><Relationship Id="rId5" Type="http://schemas.openxmlformats.org/officeDocument/2006/relationships/hyperlink" Target="consultantplus://offline/ref=ED5C1B873E042078D4E858BF17E30D65D0B5D8E4AC53A1FE5611694662441D0D36737E4D30866A28fBt6G" TargetMode="External"/><Relationship Id="rId6" Type="http://schemas.openxmlformats.org/officeDocument/2006/relationships/hyperlink" Target="consultantplus://offline/ref=ED5C1B873E042078D4E858BF17E30D65D0B5D8E4AC53A1FE5611694662441D0D36737E4D30866A28fBt6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672A-7258-45E9-A37D-6533FFD2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LibreOffice/6.4.0.3$Windows_X86_64 LibreOffice_project/b0a288ab3d2d4774cb44b62f04d5d28733ac6df8</Application>
  <Pages>7</Pages>
  <Words>2026</Words>
  <Characters>14023</Characters>
  <CharactersWithSpaces>16087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2020-11-26T07:30:00Z</dcterms:created>
  <dc:creator>AH0532</dc:creator>
  <dc:description/>
  <dc:language>ru-RU</dc:language>
  <cp:lastModifiedBy/>
  <cp:lastPrinted>2017-06-27T08:05:00Z</cp:lastPrinted>
  <dcterms:modified xsi:type="dcterms:W3CDTF">2022-11-08T12:12:11Z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